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17EB" w14:textId="59F60734" w:rsidR="00F84B00" w:rsidRPr="00F84B00" w:rsidRDefault="00F84B00" w:rsidP="00F84B00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Аудиторлық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ұйымды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таңдау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рәсімін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өткізу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туралы</w:t>
      </w:r>
      <w:proofErr w:type="spellEnd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 </w:t>
      </w:r>
      <w:proofErr w:type="spellStart"/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хабарландыру</w:t>
      </w:r>
      <w:proofErr w:type="spellEnd"/>
    </w:p>
    <w:p w14:paraId="04754D32" w14:textId="3289E7B7" w:rsidR="00F84B00" w:rsidRPr="00F84B00" w:rsidRDefault="00F84B00" w:rsidP="00F84B00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  <w:t>«БГҚ Түркістан» ЖШС үшін аудиттік қызметтер көрсету</w:t>
      </w:r>
    </w:p>
    <w:p w14:paraId="231F1AD5" w14:textId="77777777" w:rsidR="00F84B00" w:rsidRPr="00F84B00" w:rsidRDefault="00F84B00" w:rsidP="00F84B00">
      <w:pPr>
        <w:rPr>
          <w:rFonts w:ascii="Times New Roman" w:hAnsi="Times New Roman" w:cs="Times New Roman"/>
          <w:lang w:val="kk-KZ"/>
        </w:rPr>
      </w:pPr>
    </w:p>
    <w:p w14:paraId="7B552289" w14:textId="10E2CF77" w:rsidR="00F84B00" w:rsidRPr="00F84B00" w:rsidRDefault="00F84B00" w:rsidP="00F84B00">
      <w:pPr>
        <w:rPr>
          <w:rFonts w:ascii="Times New Roman" w:hAnsi="Times New Roman" w:cs="Times New Roman"/>
          <w:lang w:val="kk-KZ"/>
        </w:rPr>
      </w:pPr>
      <w:r w:rsidRPr="002E471B">
        <w:rPr>
          <w:rFonts w:ascii="Times New Roman" w:hAnsi="Times New Roman" w:cs="Times New Roman"/>
          <w:lang w:val="kk-KZ"/>
        </w:rPr>
        <w:t xml:space="preserve">2024 жыл </w:t>
      </w:r>
      <w:r w:rsidR="000F66E3" w:rsidRPr="002E471B">
        <w:rPr>
          <w:rFonts w:ascii="Times New Roman" w:hAnsi="Times New Roman" w:cs="Times New Roman"/>
          <w:lang w:val="kk-KZ"/>
        </w:rPr>
        <w:t>25</w:t>
      </w:r>
      <w:r w:rsidRPr="002E471B">
        <w:rPr>
          <w:rFonts w:ascii="Times New Roman" w:hAnsi="Times New Roman" w:cs="Times New Roman"/>
          <w:lang w:val="kk-KZ"/>
        </w:rPr>
        <w:t xml:space="preserve"> қа</w:t>
      </w:r>
      <w:r w:rsidR="000F66E3" w:rsidRPr="002E471B">
        <w:rPr>
          <w:rFonts w:ascii="Times New Roman" w:hAnsi="Times New Roman" w:cs="Times New Roman"/>
          <w:lang w:val="kk-KZ"/>
        </w:rPr>
        <w:t>раша</w:t>
      </w:r>
    </w:p>
    <w:p w14:paraId="66E25778" w14:textId="6E2746D4" w:rsidR="00F84B00" w:rsidRDefault="00F84B00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B00">
        <w:rPr>
          <w:rFonts w:ascii="Times New Roman" w:hAnsi="Times New Roman" w:cs="Times New Roman"/>
          <w:lang w:val="kk-KZ"/>
        </w:rPr>
        <w:t xml:space="preserve"> «БГҚ Түркістан» ЖШС-сі (бұдан әрі – Тапсрыс беруші) «Самрук-Қазына  Ұлттық әл-ауқат қорының» акционерлік қоғамдары мен елу және одан да көп пайыз дауыс беретін акциялары (қатысу үлестері)  «Самрұқ-Қазына» АҚ меншігінде немесе сенімді басқаруда болған жағдайда, сатып алу тәртібінің (бұдан әрі – Тәртіп) 13-қосымшасына сәйкес, қаржылық есептілікті аудиттеу қызметтерін көрсету үшін аудиторлық ұйымды таңдау рәсімін өткізетінін хабарлайды, келесі көлемде және келесі шарттарда:</w:t>
      </w:r>
    </w:p>
    <w:p w14:paraId="0CB08B8D" w14:textId="77777777" w:rsidR="005D584C" w:rsidRDefault="005D584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4CE6166" w14:textId="2BE85FD0" w:rsidR="005D584C" w:rsidRPr="005D584C" w:rsidRDefault="005D584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D584C">
        <w:rPr>
          <w:rFonts w:ascii="Times New Roman" w:hAnsi="Times New Roman" w:cs="Times New Roman"/>
          <w:lang w:val="kk-KZ"/>
        </w:rPr>
        <w:t>Қаржылық есеп беру аудитін жүргізу бойынша қызмет көрсететін аудиторлық ұйымды таңдау тәртібі туралы хабарландыру</w:t>
      </w:r>
    </w:p>
    <w:p w14:paraId="41380759" w14:textId="77777777" w:rsidR="005D584C" w:rsidRPr="00F84B00" w:rsidRDefault="005D584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14428D82" w14:textId="54E4816B" w:rsidR="00F84B00" w:rsidRPr="00F84B00" w:rsidRDefault="00F84B00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 w:rsidRPr="00F84B00">
        <w:rPr>
          <w:rFonts w:ascii="Times New Roman" w:hAnsi="Times New Roman" w:cs="Times New Roman"/>
          <w:lang w:val="kk-KZ"/>
        </w:rPr>
        <w:t>Тапсырыс беруші мен мекенжайы:</w:t>
      </w:r>
    </w:p>
    <w:p w14:paraId="583B71D1" w14:textId="6FE2C63E" w:rsidR="00F84B00" w:rsidRDefault="00F84B00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F84B00">
        <w:rPr>
          <w:rFonts w:ascii="Times New Roman" w:hAnsi="Times New Roman" w:cs="Times New Roman"/>
          <w:lang w:val="kk-KZ"/>
        </w:rPr>
        <w:t>«БГҚ Түркістан» ЖШС-сі</w:t>
      </w:r>
      <w:r>
        <w:rPr>
          <w:rFonts w:ascii="Times New Roman" w:hAnsi="Times New Roman" w:cs="Times New Roman"/>
          <w:lang w:val="kk-KZ"/>
        </w:rPr>
        <w:t>,</w:t>
      </w:r>
      <w:r w:rsidRPr="00F84B00">
        <w:rPr>
          <w:rFonts w:ascii="Times New Roman" w:hAnsi="Times New Roman" w:cs="Times New Roman"/>
          <w:lang w:val="kk-KZ"/>
        </w:rPr>
        <w:t xml:space="preserve"> нақ</w:t>
      </w:r>
      <w:r>
        <w:rPr>
          <w:rFonts w:ascii="Times New Roman" w:hAnsi="Times New Roman" w:cs="Times New Roman"/>
          <w:lang w:val="kk-KZ"/>
        </w:rPr>
        <w:t xml:space="preserve">ты мекенжайы: Шымкент қаласы, </w:t>
      </w:r>
      <w:r w:rsidRPr="00F84B00"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  <w:lang w:val="kk-KZ"/>
        </w:rPr>
        <w:t>о</w:t>
      </w:r>
      <w:r w:rsidRPr="00F84B00">
        <w:rPr>
          <w:rFonts w:ascii="Times New Roman" w:hAnsi="Times New Roman" w:cs="Times New Roman"/>
          <w:lang w:val="kk-KZ"/>
        </w:rPr>
        <w:t xml:space="preserve">наев даңғылы, 17/5, 5-қабат, электрондық пошта: </w:t>
      </w:r>
      <w:hyperlink r:id="rId5" w:history="1">
        <w:r w:rsidR="005D584C" w:rsidRPr="00B02195">
          <w:rPr>
            <w:rStyle w:val="a3"/>
            <w:rFonts w:ascii="Times New Roman" w:hAnsi="Times New Roman" w:cs="Times New Roman"/>
            <w:lang w:val="kk-KZ"/>
          </w:rPr>
          <w:t>info@sk-pgu.kz</w:t>
        </w:r>
      </w:hyperlink>
      <w:r w:rsidRPr="00F84B00">
        <w:rPr>
          <w:rFonts w:ascii="Times New Roman" w:hAnsi="Times New Roman" w:cs="Times New Roman"/>
          <w:lang w:val="kk-KZ"/>
        </w:rPr>
        <w:t>.</w:t>
      </w:r>
    </w:p>
    <w:p w14:paraId="207528F4" w14:textId="77777777" w:rsidR="005D584C" w:rsidRPr="00F84B00" w:rsidRDefault="005D584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0276B472" w14:textId="26FC0017" w:rsidR="00F84B00" w:rsidRPr="00F84B00" w:rsidRDefault="007D429B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Сатып алынатын аудит</w:t>
      </w:r>
      <w:r w:rsidR="00F84B00" w:rsidRPr="00F84B00">
        <w:rPr>
          <w:rFonts w:ascii="Times New Roman" w:hAnsi="Times New Roman" w:cs="Times New Roman"/>
          <w:lang w:val="kk-KZ"/>
        </w:rPr>
        <w:t xml:space="preserve"> және қосымша қызм</w:t>
      </w:r>
      <w:r w:rsidR="00F84B00">
        <w:rPr>
          <w:rFonts w:ascii="Times New Roman" w:hAnsi="Times New Roman" w:cs="Times New Roman"/>
          <w:lang w:val="kk-KZ"/>
        </w:rPr>
        <w:t>еттердің қысқаша сипаттамасы:</w:t>
      </w:r>
    </w:p>
    <w:p w14:paraId="1EF52D7E" w14:textId="649427B2" w:rsidR="00F84B00" w:rsidRPr="00F84B00" w:rsidRDefault="00B7386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- 2025</w:t>
      </w:r>
      <w:r w:rsidR="00F84B00" w:rsidRPr="00F84B00">
        <w:rPr>
          <w:rFonts w:ascii="Times New Roman" w:hAnsi="Times New Roman" w:cs="Times New Roman"/>
          <w:lang w:val="kk-KZ"/>
        </w:rPr>
        <w:t xml:space="preserve"> жылдың бірінші жартыжылдығы бойынша Тапсырыс беруші</w:t>
      </w:r>
      <w:r w:rsidR="00F84B00">
        <w:rPr>
          <w:rFonts w:ascii="Times New Roman" w:hAnsi="Times New Roman" w:cs="Times New Roman"/>
          <w:lang w:val="kk-KZ"/>
        </w:rPr>
        <w:t>нің</w:t>
      </w:r>
      <w:r w:rsidR="00F84B00" w:rsidRPr="00F84B00">
        <w:rPr>
          <w:rFonts w:ascii="Times New Roman" w:hAnsi="Times New Roman" w:cs="Times New Roman"/>
          <w:lang w:val="kk-KZ"/>
        </w:rPr>
        <w:t xml:space="preserve"> қаржылық есептілігін, тәуелсіз аудит</w:t>
      </w:r>
      <w:r w:rsidR="00F84B00">
        <w:rPr>
          <w:rFonts w:ascii="Times New Roman" w:hAnsi="Times New Roman" w:cs="Times New Roman"/>
          <w:lang w:val="kk-KZ"/>
        </w:rPr>
        <w:t>ормен шолу туралы есепті беру;</w:t>
      </w:r>
    </w:p>
    <w:p w14:paraId="6D856839" w14:textId="2CDD1AFC" w:rsidR="00F84B00" w:rsidRDefault="00F84B00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B7386C">
        <w:rPr>
          <w:rFonts w:ascii="Times New Roman" w:hAnsi="Times New Roman" w:cs="Times New Roman"/>
          <w:lang w:val="kk-KZ"/>
        </w:rPr>
        <w:t xml:space="preserve">- 2024 жылдың 31 желтоқсанына және одан өткен жылға арналған </w:t>
      </w:r>
      <w:r w:rsidR="00B7386C">
        <w:rPr>
          <w:rFonts w:ascii="Times New Roman" w:hAnsi="Times New Roman" w:cs="Times New Roman"/>
          <w:lang w:val="kk-KZ"/>
        </w:rPr>
        <w:t>Тапсрыс берушінің</w:t>
      </w:r>
      <w:r w:rsidRPr="00B7386C">
        <w:rPr>
          <w:rFonts w:ascii="Times New Roman" w:hAnsi="Times New Roman" w:cs="Times New Roman"/>
          <w:lang w:val="kk-KZ"/>
        </w:rPr>
        <w:t xml:space="preserve"> қаржылық есептілігін аудиторлық қызмет көрсету.</w:t>
      </w:r>
    </w:p>
    <w:p w14:paraId="4CADBE61" w14:textId="77777777" w:rsidR="005D584C" w:rsidRPr="00B7386C" w:rsidRDefault="005D584C" w:rsidP="005D584C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439F21B" w14:textId="5A1D78FB" w:rsidR="00F84B00" w:rsidRPr="00B7386C" w:rsidRDefault="00B7386C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 w:rsidRPr="00B7386C">
        <w:rPr>
          <w:rFonts w:ascii="Times New Roman" w:hAnsi="Times New Roman" w:cs="Times New Roman"/>
          <w:lang w:val="kk-KZ"/>
        </w:rPr>
        <w:t>Тапсрыс берушінің</w:t>
      </w:r>
      <w:r w:rsidR="00F84B00" w:rsidRPr="00B7386C">
        <w:rPr>
          <w:rFonts w:ascii="Times New Roman" w:hAnsi="Times New Roman" w:cs="Times New Roman"/>
          <w:lang w:val="kk-KZ"/>
        </w:rPr>
        <w:t xml:space="preserve"> қаржылық</w:t>
      </w:r>
      <w:r>
        <w:rPr>
          <w:rFonts w:ascii="Times New Roman" w:hAnsi="Times New Roman" w:cs="Times New Roman"/>
          <w:lang w:val="kk-KZ"/>
        </w:rPr>
        <w:t xml:space="preserve"> есептілігін аудиторлы</w:t>
      </w:r>
      <w:r w:rsidRPr="00B7386C">
        <w:rPr>
          <w:rFonts w:ascii="Times New Roman" w:hAnsi="Times New Roman" w:cs="Times New Roman"/>
          <w:lang w:val="kk-KZ"/>
        </w:rPr>
        <w:t>қ</w:t>
      </w:r>
      <w:r w:rsidR="00F84B00" w:rsidRPr="00B7386C">
        <w:rPr>
          <w:rFonts w:ascii="Times New Roman" w:hAnsi="Times New Roman" w:cs="Times New Roman"/>
          <w:lang w:val="kk-KZ"/>
        </w:rPr>
        <w:t xml:space="preserve"> қызметтерін сатып алу үшін бөлінген сома:*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386C" w:rsidRPr="000F66E3" w14:paraId="20562BD0" w14:textId="77777777" w:rsidTr="004E171F">
        <w:tc>
          <w:tcPr>
            <w:tcW w:w="3115" w:type="dxa"/>
            <w:vAlign w:val="center"/>
          </w:tcPr>
          <w:p w14:paraId="00EA75AA" w14:textId="28E40B7E" w:rsidR="00B7386C" w:rsidRPr="00F84B00" w:rsidRDefault="00B7386C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Аудит жүргізілетін жыл</w:t>
            </w:r>
          </w:p>
        </w:tc>
        <w:tc>
          <w:tcPr>
            <w:tcW w:w="3115" w:type="dxa"/>
            <w:vAlign w:val="center"/>
          </w:tcPr>
          <w:p w14:paraId="3DB0B008" w14:textId="073341DE" w:rsidR="00B7386C" w:rsidRPr="00B7386C" w:rsidRDefault="00B7386C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Бағасы, теңге,</w:t>
            </w:r>
          </w:p>
          <w:p w14:paraId="3E5E025E" w14:textId="6DD2172E" w:rsidR="00B7386C" w:rsidRPr="00B7386C" w:rsidRDefault="00B7386C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</w:pPr>
            <w:r w:rsidRPr="00B7386C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(ҚҚС ті қоспаған жағдайда)</w:t>
            </w:r>
          </w:p>
        </w:tc>
        <w:tc>
          <w:tcPr>
            <w:tcW w:w="3115" w:type="dxa"/>
            <w:vAlign w:val="center"/>
          </w:tcPr>
          <w:p w14:paraId="12190301" w14:textId="77777777" w:rsidR="00B7386C" w:rsidRPr="00B7386C" w:rsidRDefault="00B7386C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Бағасы, теңге,</w:t>
            </w:r>
          </w:p>
          <w:p w14:paraId="4F12D3DA" w14:textId="13ED99A4" w:rsidR="00B7386C" w:rsidRPr="00B7386C" w:rsidRDefault="00B7386C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</w:pPr>
            <w:r w:rsidRPr="00B7386C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(ҚҚС ті 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ос</w:t>
            </w:r>
            <w:r w:rsidRPr="00B7386C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>ан</w:t>
            </w:r>
            <w:r w:rsidRPr="00B7386C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val="kk-KZ" w:eastAsia="ru-RU"/>
              </w:rPr>
              <w:t xml:space="preserve"> жағдайда)</w:t>
            </w:r>
          </w:p>
        </w:tc>
      </w:tr>
      <w:tr w:rsidR="000F66E3" w:rsidRPr="00F84B00" w14:paraId="7C235AEF" w14:textId="77777777" w:rsidTr="000F66E3">
        <w:tc>
          <w:tcPr>
            <w:tcW w:w="3115" w:type="dxa"/>
          </w:tcPr>
          <w:p w14:paraId="24DB8755" w14:textId="77777777" w:rsidR="000F66E3" w:rsidRPr="00F84B00" w:rsidRDefault="000F66E3" w:rsidP="000F66E3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115" w:type="dxa"/>
            <w:vMerge w:val="restart"/>
            <w:vAlign w:val="center"/>
          </w:tcPr>
          <w:p w14:paraId="14E38745" w14:textId="43467412" w:rsidR="000F66E3" w:rsidRPr="00F84B00" w:rsidRDefault="000F66E3" w:rsidP="000F66E3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22 700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  <w:tc>
          <w:tcPr>
            <w:tcW w:w="3115" w:type="dxa"/>
            <w:vMerge w:val="restart"/>
            <w:vAlign w:val="center"/>
          </w:tcPr>
          <w:p w14:paraId="77C92F2A" w14:textId="1E67A2F8" w:rsidR="000F66E3" w:rsidRPr="00F84B00" w:rsidRDefault="000F66E3" w:rsidP="000F66E3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25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424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</w:tr>
      <w:tr w:rsidR="000F66E3" w:rsidRPr="00F84B00" w14:paraId="2E476D1E" w14:textId="77777777" w:rsidTr="004E171F">
        <w:tc>
          <w:tcPr>
            <w:tcW w:w="3115" w:type="dxa"/>
          </w:tcPr>
          <w:p w14:paraId="2736DEB4" w14:textId="22D83B49" w:rsidR="000F66E3" w:rsidRPr="00F84B00" w:rsidRDefault="000F66E3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2025</w:t>
            </w:r>
            <w:r w:rsidRPr="00F84B00">
              <w:rPr>
                <w:rFonts w:ascii="Times New Roman" w:hAnsi="Times New Roman" w:cs="Times New Roman"/>
                <w:lang w:val="kk-KZ"/>
              </w:rPr>
              <w:t xml:space="preserve"> жылдың бірінші жартыжылдығы</w:t>
            </w:r>
          </w:p>
        </w:tc>
        <w:tc>
          <w:tcPr>
            <w:tcW w:w="3115" w:type="dxa"/>
            <w:vMerge/>
          </w:tcPr>
          <w:p w14:paraId="7F0A5B2E" w14:textId="77777777" w:rsidR="000F66E3" w:rsidRPr="00F84B00" w:rsidRDefault="000F66E3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vMerge/>
          </w:tcPr>
          <w:p w14:paraId="4B58F1F7" w14:textId="77777777" w:rsidR="000F66E3" w:rsidRPr="00F84B00" w:rsidRDefault="000F66E3" w:rsidP="005D584C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3A1D0D6A" w14:textId="77777777" w:rsidR="00B7386C" w:rsidRDefault="00B7386C" w:rsidP="005D58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27F9F" w14:textId="7AB4579C" w:rsidR="00F84B00" w:rsidRDefault="007D429B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Сатып алынатын аудит</w:t>
      </w:r>
      <w:r w:rsidR="00F84B00" w:rsidRPr="00B7386C">
        <w:rPr>
          <w:rFonts w:ascii="Times New Roman" w:hAnsi="Times New Roman" w:cs="Times New Roman"/>
          <w:lang w:val="kk-KZ"/>
        </w:rPr>
        <w:t xml:space="preserve"> және қосымша</w:t>
      </w:r>
      <w:r>
        <w:rPr>
          <w:rFonts w:ascii="Times New Roman" w:hAnsi="Times New Roman" w:cs="Times New Roman"/>
          <w:lang w:val="kk-KZ"/>
        </w:rPr>
        <w:t xml:space="preserve"> қызметтердің толық сипаттамасы</w:t>
      </w:r>
      <w:r w:rsidR="00F84B00" w:rsidRPr="00B7386C">
        <w:rPr>
          <w:rFonts w:ascii="Times New Roman" w:hAnsi="Times New Roman" w:cs="Times New Roman"/>
          <w:lang w:val="kk-KZ"/>
        </w:rPr>
        <w:t xml:space="preserve"> «Аудиторлық ұйымды таңдау рәсіміне қатысуға өтінім» (бұдан әрі – Өтінім) құжатында көрсетілген, ол қатысушылардың ресми сұрауы бойынша беріледі.</w:t>
      </w:r>
    </w:p>
    <w:p w14:paraId="3F624194" w14:textId="77777777" w:rsidR="005D584C" w:rsidRPr="007D429B" w:rsidRDefault="005D584C" w:rsidP="005D584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lang w:val="kk-KZ"/>
        </w:rPr>
      </w:pPr>
    </w:p>
    <w:p w14:paraId="1126B973" w14:textId="3F9F8DA2" w:rsidR="00F84B00" w:rsidRDefault="00F84B00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 w:rsidRPr="00B7386C">
        <w:rPr>
          <w:rFonts w:ascii="Times New Roman" w:hAnsi="Times New Roman" w:cs="Times New Roman"/>
          <w:lang w:val="kk-KZ"/>
        </w:rPr>
        <w:t xml:space="preserve">Аудиторлық ұйымды таңдау рәсіміне қатысуға өтінімнің көшірмелерін әлеуетті қатысушылардың уәкілетті өкілдері электронды </w:t>
      </w:r>
      <w:r w:rsidRPr="007D429B">
        <w:rPr>
          <w:rFonts w:ascii="Times New Roman" w:hAnsi="Times New Roman" w:cs="Times New Roman"/>
          <w:lang w:val="kk-KZ"/>
        </w:rPr>
        <w:t>түрде (</w:t>
      </w:r>
      <w:r w:rsidRPr="007D429B">
        <w:rPr>
          <w:rStyle w:val="a3"/>
          <w:rFonts w:ascii="Times New Roman" w:eastAsia="Times New Roman" w:hAnsi="Times New Roman" w:cs="Times New Roman"/>
          <w:bCs/>
          <w:shd w:val="clear" w:color="auto" w:fill="FFFFFF"/>
          <w:lang w:val="kk-KZ" w:eastAsia="ru-RU"/>
        </w:rPr>
        <w:t>sh.kassymova@ccgt.kz</w:t>
      </w:r>
      <w:r w:rsidRPr="007D429B">
        <w:rPr>
          <w:rFonts w:ascii="Times New Roman" w:hAnsi="Times New Roman" w:cs="Times New Roman"/>
          <w:lang w:val="kk-KZ"/>
        </w:rPr>
        <w:t xml:space="preserve"> және </w:t>
      </w:r>
      <w:r w:rsidRPr="007D429B">
        <w:rPr>
          <w:rStyle w:val="a3"/>
          <w:rFonts w:ascii="Times New Roman" w:eastAsia="Times New Roman" w:hAnsi="Times New Roman" w:cs="Times New Roman"/>
          <w:bCs/>
          <w:shd w:val="clear" w:color="auto" w:fill="FFFFFF"/>
          <w:lang w:val="kk-KZ" w:eastAsia="ru-RU"/>
        </w:rPr>
        <w:t xml:space="preserve">a.tulegenov@ccgt.kz </w:t>
      </w:r>
      <w:r w:rsidRPr="007D429B">
        <w:rPr>
          <w:rFonts w:ascii="Times New Roman" w:hAnsi="Times New Roman" w:cs="Times New Roman"/>
          <w:lang w:val="kk-KZ"/>
        </w:rPr>
        <w:t>электрондық поштасына хабарласып) немесе қағаз</w:t>
      </w:r>
      <w:r w:rsidR="007D429B">
        <w:rPr>
          <w:rFonts w:ascii="Times New Roman" w:hAnsi="Times New Roman" w:cs="Times New Roman"/>
          <w:lang w:val="kk-KZ"/>
        </w:rPr>
        <w:t xml:space="preserve"> нұсқада: Шымкент қаласы, </w:t>
      </w:r>
      <w:r w:rsidR="007D429B" w:rsidRPr="007D429B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kk-KZ" w:eastAsia="ru-RU"/>
        </w:rPr>
        <w:t>Қ</w:t>
      </w:r>
      <w:r w:rsidR="007D429B">
        <w:rPr>
          <w:rFonts w:ascii="Times New Roman" w:hAnsi="Times New Roman" w:cs="Times New Roman"/>
          <w:lang w:val="kk-KZ"/>
        </w:rPr>
        <w:t>о</w:t>
      </w:r>
      <w:r w:rsidRPr="007D429B">
        <w:rPr>
          <w:rFonts w:ascii="Times New Roman" w:hAnsi="Times New Roman" w:cs="Times New Roman"/>
          <w:lang w:val="kk-KZ"/>
        </w:rPr>
        <w:t>наев даңғылы, 17/5, 5-қабат, Бухгалтерлік есеп және есептілік департаментінен ала алады.</w:t>
      </w:r>
    </w:p>
    <w:p w14:paraId="76E26CD0" w14:textId="77777777" w:rsidR="005D584C" w:rsidRPr="005D584C" w:rsidRDefault="005D584C" w:rsidP="005D584C">
      <w:pPr>
        <w:pStyle w:val="a4"/>
        <w:rPr>
          <w:rFonts w:ascii="Times New Roman" w:hAnsi="Times New Roman" w:cs="Times New Roman"/>
          <w:lang w:val="kk-KZ"/>
        </w:rPr>
      </w:pPr>
    </w:p>
    <w:p w14:paraId="7F383792" w14:textId="18C240C5" w:rsidR="00F84B00" w:rsidRDefault="00F84B00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 w:rsidRPr="00B7386C">
        <w:rPr>
          <w:rFonts w:ascii="Times New Roman" w:hAnsi="Times New Roman" w:cs="Times New Roman"/>
          <w:lang w:val="kk-KZ"/>
        </w:rPr>
        <w:t xml:space="preserve">Қатысушылардың ресми ұсыныстары </w:t>
      </w:r>
      <w:r w:rsidR="007D429B">
        <w:rPr>
          <w:rFonts w:ascii="Times New Roman" w:hAnsi="Times New Roman" w:cs="Times New Roman"/>
          <w:lang w:val="kk-KZ"/>
        </w:rPr>
        <w:t>Тапсырыс берушіге</w:t>
      </w:r>
      <w:r w:rsidRPr="00B7386C">
        <w:rPr>
          <w:rFonts w:ascii="Times New Roman" w:hAnsi="Times New Roman" w:cs="Times New Roman"/>
          <w:lang w:val="kk-KZ"/>
        </w:rPr>
        <w:t xml:space="preserve"> мөрленген конвертте ұсынылады және құжаттарды қабылдау актісімен: Шымкент қаласы, </w:t>
      </w:r>
      <w:r w:rsidR="007D429B" w:rsidRPr="007D429B">
        <w:rPr>
          <w:rFonts w:ascii="Times New Roman" w:hAnsi="Times New Roman" w:cs="Times New Roman"/>
          <w:lang w:val="kk-KZ"/>
        </w:rPr>
        <w:t>Қонаев</w:t>
      </w:r>
      <w:r w:rsidRPr="00B7386C">
        <w:rPr>
          <w:rFonts w:ascii="Times New Roman" w:hAnsi="Times New Roman" w:cs="Times New Roman"/>
          <w:lang w:val="kk-KZ"/>
        </w:rPr>
        <w:t xml:space="preserve"> даңғылы, 17/5, 5-қабат, Бухгалтерлік есеп және есептілік департаментінде қабылданады. Ресми ұсынысты әлеуетті қатысушылар немесе олардың уәкілетті өкілдері қолмен тапсыратын болса, олар, әлеуетті қатысушының ресми ұсынысты беру</w:t>
      </w:r>
      <w:r w:rsidRPr="007D429B">
        <w:rPr>
          <w:rFonts w:ascii="Times New Roman" w:hAnsi="Times New Roman" w:cs="Times New Roman"/>
          <w:lang w:val="kk-KZ"/>
        </w:rPr>
        <w:t xml:space="preserve"> құқықтарын куәландыратын сенімхат және жеке басын куәландыратын құжаттың көшірмесін ұсынуы қажет.</w:t>
      </w:r>
    </w:p>
    <w:p w14:paraId="350119A3" w14:textId="77777777" w:rsidR="005D584C" w:rsidRPr="005D584C" w:rsidRDefault="005D584C" w:rsidP="005D584C">
      <w:pPr>
        <w:pStyle w:val="a4"/>
        <w:rPr>
          <w:rFonts w:ascii="Times New Roman" w:hAnsi="Times New Roman" w:cs="Times New Roman"/>
          <w:lang w:val="kk-KZ"/>
        </w:rPr>
      </w:pPr>
    </w:p>
    <w:p w14:paraId="0F0E9D7C" w14:textId="61624FB0" w:rsidR="00F84B00" w:rsidRPr="007D429B" w:rsidRDefault="00F84B00" w:rsidP="005D584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kk-KZ"/>
        </w:rPr>
      </w:pPr>
      <w:r w:rsidRPr="007D429B">
        <w:rPr>
          <w:rFonts w:ascii="Times New Roman" w:hAnsi="Times New Roman" w:cs="Times New Roman"/>
          <w:lang w:val="kk-KZ"/>
        </w:rPr>
        <w:t>Ресми конкурс ұсыныс</w:t>
      </w:r>
      <w:r w:rsidR="007D429B">
        <w:rPr>
          <w:rFonts w:ascii="Times New Roman" w:hAnsi="Times New Roman" w:cs="Times New Roman"/>
          <w:lang w:val="kk-KZ"/>
        </w:rPr>
        <w:t>тарының қабылдану мерзімдері:</w:t>
      </w:r>
    </w:p>
    <w:p w14:paraId="3EBC495B" w14:textId="0A2E7A71" w:rsidR="00F84B00" w:rsidRPr="002E471B" w:rsidRDefault="00F84B00" w:rsidP="007D429B">
      <w:pPr>
        <w:spacing w:after="0"/>
        <w:ind w:firstLine="284"/>
        <w:jc w:val="both"/>
        <w:rPr>
          <w:rFonts w:ascii="Times New Roman" w:hAnsi="Times New Roman" w:cs="Times New Roman"/>
          <w:lang w:val="kk-KZ"/>
        </w:rPr>
      </w:pPr>
      <w:r w:rsidRPr="002E471B">
        <w:rPr>
          <w:rFonts w:ascii="Times New Roman" w:hAnsi="Times New Roman" w:cs="Times New Roman"/>
          <w:lang w:val="kk-KZ"/>
        </w:rPr>
        <w:t>Басталу ме</w:t>
      </w:r>
      <w:r w:rsidR="007D429B" w:rsidRPr="002E471B">
        <w:rPr>
          <w:rFonts w:ascii="Times New Roman" w:hAnsi="Times New Roman" w:cs="Times New Roman"/>
          <w:lang w:val="kk-KZ"/>
        </w:rPr>
        <w:t xml:space="preserve">рзімі: 2024 жыл </w:t>
      </w:r>
      <w:r w:rsidR="00BD226B" w:rsidRPr="002E471B">
        <w:rPr>
          <w:rFonts w:ascii="Times New Roman" w:hAnsi="Times New Roman" w:cs="Times New Roman"/>
          <w:lang w:val="kk-KZ"/>
        </w:rPr>
        <w:t>26</w:t>
      </w:r>
      <w:r w:rsidR="007D429B" w:rsidRPr="002E471B">
        <w:rPr>
          <w:rFonts w:ascii="Times New Roman" w:hAnsi="Times New Roman" w:cs="Times New Roman"/>
          <w:lang w:val="kk-KZ"/>
        </w:rPr>
        <w:t xml:space="preserve"> қараша</w:t>
      </w:r>
      <w:r w:rsidRPr="002E471B">
        <w:rPr>
          <w:rFonts w:ascii="Times New Roman" w:hAnsi="Times New Roman" w:cs="Times New Roman"/>
          <w:lang w:val="kk-KZ"/>
        </w:rPr>
        <w:t xml:space="preserve">, сағат 09:00.  </w:t>
      </w:r>
    </w:p>
    <w:p w14:paraId="58570172" w14:textId="33EF1B30" w:rsidR="00F84B00" w:rsidRPr="007D429B" w:rsidRDefault="00F84B00" w:rsidP="007D429B">
      <w:pPr>
        <w:spacing w:after="0"/>
        <w:ind w:firstLine="284"/>
        <w:jc w:val="both"/>
        <w:rPr>
          <w:rFonts w:ascii="Times New Roman" w:hAnsi="Times New Roman" w:cs="Times New Roman"/>
          <w:lang w:val="kk-KZ"/>
        </w:rPr>
      </w:pPr>
      <w:r w:rsidRPr="002E471B">
        <w:rPr>
          <w:rFonts w:ascii="Times New Roman" w:hAnsi="Times New Roman" w:cs="Times New Roman"/>
          <w:lang w:val="kk-KZ"/>
        </w:rPr>
        <w:t>Аяқталу мер</w:t>
      </w:r>
      <w:r w:rsidR="007D429B" w:rsidRPr="002E471B">
        <w:rPr>
          <w:rFonts w:ascii="Times New Roman" w:hAnsi="Times New Roman" w:cs="Times New Roman"/>
          <w:lang w:val="kk-KZ"/>
        </w:rPr>
        <w:t xml:space="preserve">зімі: 2024 жыл </w:t>
      </w:r>
      <w:r w:rsidR="00BD226B" w:rsidRPr="002E471B">
        <w:rPr>
          <w:rFonts w:ascii="Times New Roman" w:hAnsi="Times New Roman" w:cs="Times New Roman"/>
          <w:lang w:val="kk-KZ"/>
        </w:rPr>
        <w:t>0</w:t>
      </w:r>
      <w:r w:rsidR="007D429B" w:rsidRPr="002E471B">
        <w:rPr>
          <w:rFonts w:ascii="Times New Roman" w:hAnsi="Times New Roman" w:cs="Times New Roman"/>
          <w:lang w:val="kk-KZ"/>
        </w:rPr>
        <w:t xml:space="preserve">5 </w:t>
      </w:r>
      <w:r w:rsidR="00BD226B" w:rsidRPr="002E471B">
        <w:rPr>
          <w:rFonts w:ascii="Times New Roman" w:hAnsi="Times New Roman" w:cs="Times New Roman"/>
          <w:lang w:val="kk-KZ"/>
        </w:rPr>
        <w:t>желто</w:t>
      </w:r>
      <w:r w:rsidR="007D429B" w:rsidRPr="002E471B">
        <w:rPr>
          <w:rFonts w:ascii="Times New Roman" w:hAnsi="Times New Roman" w:cs="Times New Roman"/>
          <w:lang w:val="kk-KZ"/>
        </w:rPr>
        <w:t>қ</w:t>
      </w:r>
      <w:r w:rsidR="00BD226B" w:rsidRPr="002E471B">
        <w:rPr>
          <w:rFonts w:ascii="Times New Roman" w:hAnsi="Times New Roman" w:cs="Times New Roman"/>
          <w:lang w:val="kk-KZ"/>
        </w:rPr>
        <w:t>сан</w:t>
      </w:r>
      <w:r w:rsidRPr="002E471B">
        <w:rPr>
          <w:rFonts w:ascii="Times New Roman" w:hAnsi="Times New Roman" w:cs="Times New Roman"/>
          <w:lang w:val="kk-KZ"/>
        </w:rPr>
        <w:t>, сағат 18:00.</w:t>
      </w:r>
    </w:p>
    <w:p w14:paraId="0A68F100" w14:textId="77777777" w:rsidR="00446269" w:rsidRPr="007D429B" w:rsidRDefault="00446269" w:rsidP="00F84B00">
      <w:pPr>
        <w:pStyle w:val="a4"/>
        <w:tabs>
          <w:tab w:val="left" w:pos="284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val="kk-KZ" w:eastAsia="ru-RU"/>
        </w:rPr>
      </w:pPr>
    </w:p>
    <w:sectPr w:rsidR="00446269" w:rsidRPr="007D429B" w:rsidSect="00A76C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3EBE"/>
    <w:multiLevelType w:val="hybridMultilevel"/>
    <w:tmpl w:val="67BE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7AF"/>
    <w:multiLevelType w:val="hybridMultilevel"/>
    <w:tmpl w:val="5CFA4FD4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6F1C"/>
    <w:multiLevelType w:val="hybridMultilevel"/>
    <w:tmpl w:val="CCB2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456EE"/>
    <w:multiLevelType w:val="hybridMultilevel"/>
    <w:tmpl w:val="E936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416A"/>
    <w:multiLevelType w:val="hybridMultilevel"/>
    <w:tmpl w:val="6226E438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AC2"/>
    <w:multiLevelType w:val="hybridMultilevel"/>
    <w:tmpl w:val="899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0755">
    <w:abstractNumId w:val="4"/>
  </w:num>
  <w:num w:numId="2" w16cid:durableId="1733187873">
    <w:abstractNumId w:val="2"/>
  </w:num>
  <w:num w:numId="3" w16cid:durableId="987392699">
    <w:abstractNumId w:val="5"/>
  </w:num>
  <w:num w:numId="4" w16cid:durableId="984968198">
    <w:abstractNumId w:val="1"/>
  </w:num>
  <w:num w:numId="5" w16cid:durableId="53741481">
    <w:abstractNumId w:val="0"/>
  </w:num>
  <w:num w:numId="6" w16cid:durableId="35639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B5"/>
    <w:rsid w:val="000F04AA"/>
    <w:rsid w:val="000F66E3"/>
    <w:rsid w:val="001031A5"/>
    <w:rsid w:val="002E471B"/>
    <w:rsid w:val="003436C2"/>
    <w:rsid w:val="003B7284"/>
    <w:rsid w:val="003B79A8"/>
    <w:rsid w:val="00446269"/>
    <w:rsid w:val="00475DC3"/>
    <w:rsid w:val="004A5258"/>
    <w:rsid w:val="004A5836"/>
    <w:rsid w:val="004B1DC5"/>
    <w:rsid w:val="004B30F3"/>
    <w:rsid w:val="004E415B"/>
    <w:rsid w:val="005B0677"/>
    <w:rsid w:val="005B361B"/>
    <w:rsid w:val="005D2339"/>
    <w:rsid w:val="005D584C"/>
    <w:rsid w:val="0064332D"/>
    <w:rsid w:val="00790D76"/>
    <w:rsid w:val="007967CA"/>
    <w:rsid w:val="007D429B"/>
    <w:rsid w:val="008B4A5F"/>
    <w:rsid w:val="008C6CD9"/>
    <w:rsid w:val="008D698C"/>
    <w:rsid w:val="009045F9"/>
    <w:rsid w:val="00967A34"/>
    <w:rsid w:val="009B290E"/>
    <w:rsid w:val="009D5130"/>
    <w:rsid w:val="00A304B5"/>
    <w:rsid w:val="00A76C40"/>
    <w:rsid w:val="00AF3E4E"/>
    <w:rsid w:val="00B45D67"/>
    <w:rsid w:val="00B7386C"/>
    <w:rsid w:val="00BD226B"/>
    <w:rsid w:val="00C543F9"/>
    <w:rsid w:val="00CB757F"/>
    <w:rsid w:val="00CE4B79"/>
    <w:rsid w:val="00E033E8"/>
    <w:rsid w:val="00E94C85"/>
    <w:rsid w:val="00EB242C"/>
    <w:rsid w:val="00F05B1D"/>
    <w:rsid w:val="00F52070"/>
    <w:rsid w:val="00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690F"/>
  <w15:chartTrackingRefBased/>
  <w15:docId w15:val="{5C861646-BCE0-40E2-A5D8-A745261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0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98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E415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D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k-pg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Аскар Тулегенов</cp:lastModifiedBy>
  <cp:revision>6</cp:revision>
  <dcterms:created xsi:type="dcterms:W3CDTF">2024-10-29T05:55:00Z</dcterms:created>
  <dcterms:modified xsi:type="dcterms:W3CDTF">2024-11-25T11:59:00Z</dcterms:modified>
</cp:coreProperties>
</file>